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199" w:rsidRDefault="00635199" w:rsidP="00635199">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F01926B" wp14:editId="0A5AF87A">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5199" w:rsidRDefault="00635199" w:rsidP="0063519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35199" w:rsidRDefault="00635199" w:rsidP="0063519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35199" w:rsidRDefault="00635199" w:rsidP="0063519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635199" w:rsidRDefault="00635199" w:rsidP="0063519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635199" w:rsidRDefault="00635199" w:rsidP="0063519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635199" w:rsidRDefault="00635199" w:rsidP="0063519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5EFB1F7C" wp14:editId="62F3B69B">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12302" w:rsidRPr="00412302" w:rsidRDefault="00412302" w:rsidP="00412302">
      <w:pPr>
        <w:pStyle w:val="a6"/>
        <w:spacing w:after="0" w:line="240" w:lineRule="auto"/>
        <w:ind w:left="0"/>
        <w:jc w:val="center"/>
        <w:rPr>
          <w:rFonts w:ascii="Times New Roman" w:eastAsia="Times New Roman" w:hAnsi="Times New Roman" w:cs="Times New Roman"/>
          <w:b/>
          <w:sz w:val="24"/>
          <w:szCs w:val="24"/>
          <w:lang w:val="ru-RU" w:eastAsia="uk-UA"/>
        </w:rPr>
      </w:pPr>
      <w:bookmarkStart w:id="1" w:name="_GoBack"/>
      <w:r w:rsidRPr="00412302">
        <w:rPr>
          <w:rFonts w:ascii="Times New Roman" w:eastAsia="Times New Roman" w:hAnsi="Times New Roman" w:cs="Times New Roman"/>
          <w:b/>
          <w:sz w:val="24"/>
          <w:szCs w:val="24"/>
          <w:lang w:eastAsia="uk-UA"/>
        </w:rPr>
        <w:t xml:space="preserve">Чи застосовується відповідальність якщо ФОП – платники ЄП першої та другої груп </w:t>
      </w:r>
    </w:p>
    <w:p w:rsidR="00412302" w:rsidRPr="00412302" w:rsidRDefault="00412302" w:rsidP="00412302">
      <w:pPr>
        <w:pStyle w:val="a6"/>
        <w:spacing w:after="0" w:line="240" w:lineRule="auto"/>
        <w:ind w:left="0"/>
        <w:jc w:val="center"/>
        <w:rPr>
          <w:rFonts w:ascii="Times New Roman" w:eastAsia="Times New Roman" w:hAnsi="Times New Roman" w:cs="Times New Roman"/>
          <w:b/>
          <w:sz w:val="24"/>
          <w:szCs w:val="24"/>
          <w:lang w:eastAsia="uk-UA"/>
        </w:rPr>
      </w:pPr>
      <w:r w:rsidRPr="00412302">
        <w:rPr>
          <w:rFonts w:ascii="Times New Roman" w:eastAsia="Times New Roman" w:hAnsi="Times New Roman" w:cs="Times New Roman"/>
          <w:b/>
          <w:sz w:val="24"/>
          <w:szCs w:val="24"/>
          <w:lang w:eastAsia="uk-UA"/>
        </w:rPr>
        <w:t>не сплатили авансові внески?</w:t>
      </w:r>
    </w:p>
    <w:p w:rsidR="00412302" w:rsidRPr="00412302" w:rsidRDefault="00412302" w:rsidP="00412302">
      <w:pPr>
        <w:pStyle w:val="a6"/>
        <w:spacing w:after="0" w:line="240" w:lineRule="auto"/>
        <w:ind w:left="0"/>
        <w:jc w:val="center"/>
        <w:rPr>
          <w:rFonts w:ascii="Times New Roman" w:eastAsia="Times New Roman" w:hAnsi="Times New Roman" w:cs="Times New Roman"/>
          <w:b/>
          <w:sz w:val="24"/>
          <w:szCs w:val="24"/>
          <w:lang w:eastAsia="uk-UA"/>
        </w:rPr>
      </w:pPr>
    </w:p>
    <w:p w:rsidR="00412302" w:rsidRPr="00412302" w:rsidRDefault="00412302" w:rsidP="00412302">
      <w:pPr>
        <w:pStyle w:val="a6"/>
        <w:spacing w:after="0" w:line="240" w:lineRule="auto"/>
        <w:ind w:left="0"/>
        <w:rPr>
          <w:rFonts w:ascii="Times New Roman" w:eastAsia="Times New Roman" w:hAnsi="Times New Roman" w:cs="Times New Roman"/>
          <w:i/>
          <w:sz w:val="24"/>
          <w:szCs w:val="24"/>
          <w:u w:val="single"/>
          <w:lang w:eastAsia="uk-UA"/>
        </w:rPr>
      </w:pPr>
      <w:r w:rsidRPr="00412302">
        <w:rPr>
          <w:rFonts w:ascii="Times New Roman" w:eastAsia="Times New Roman" w:hAnsi="Times New Roman" w:cs="Times New Roman"/>
          <w:i/>
          <w:sz w:val="24"/>
          <w:szCs w:val="24"/>
          <w:u w:val="single"/>
          <w:lang w:eastAsia="uk-UA"/>
        </w:rPr>
        <w:t>Чи застосовується відповідальність (штрафні санкції і пеня) та у якому розмірі, якщо ФОП – платники ЄП першої та другої груп не сплатили та/або сплатили не в повному обсязі авансові внески за січень – березень 2022 року?</w:t>
      </w:r>
    </w:p>
    <w:p w:rsidR="00412302" w:rsidRPr="00412302" w:rsidRDefault="00412302" w:rsidP="00412302">
      <w:pPr>
        <w:spacing w:after="0" w:line="240" w:lineRule="auto"/>
        <w:ind w:firstLine="567"/>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  </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     Відповідно до п. 295.1 ст. 295 Податкового кодексу України від 02 грудня 2010 року № 2755-VІ зі змінами та доповненнями (далі – ПКУ) платники єдиного податку першої і другої груп сплачують єдиний податок шляхом здійснення авансового внеску не пізніше 20 числа (включно) поточного місяця.</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Такі платники єдиного податку можуть здійснити сплату єдиного податку авансовим внеском за весь податковий (звітний) період (квартал, рік), але не більш як до кінця поточного звітного року.</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Нарахування авансових внесків для платників єдиного податку першої і другої груп здійснюється контролюючими органами на підставі заяви такого платника єдиного податку щодо розміру обраної ставки єдиного податку, заяви щодо періоду щорічної відпустки та/або заяви щодо терміну тимчасової втрати працездатності (п. 295.2 ст. 295 ПКУ).</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 xml:space="preserve">Несплата (неперерахування) або сплата (перерахування) не в повному обсязі фізичною особою – платником єдиного податку, визначеною підпунктами 1 і 2 п. 291.4 ст. 291 ПКУ, авансових внесків єдиного податку в порядку та у строки, визначені ПКУ, тягне за собою накладення штрафу в розмірі 50 </w:t>
      </w:r>
      <w:proofErr w:type="spellStart"/>
      <w:r w:rsidRPr="00412302">
        <w:rPr>
          <w:rFonts w:ascii="Times New Roman" w:eastAsia="Times New Roman" w:hAnsi="Times New Roman" w:cs="Times New Roman"/>
          <w:sz w:val="24"/>
          <w:szCs w:val="24"/>
          <w:lang w:val="uk-UA" w:eastAsia="uk-UA"/>
        </w:rPr>
        <w:t>відс</w:t>
      </w:r>
      <w:proofErr w:type="spellEnd"/>
      <w:r w:rsidRPr="00412302">
        <w:rPr>
          <w:rFonts w:ascii="Times New Roman" w:eastAsia="Times New Roman" w:hAnsi="Times New Roman" w:cs="Times New Roman"/>
          <w:sz w:val="24"/>
          <w:szCs w:val="24"/>
          <w:lang w:val="uk-UA" w:eastAsia="uk-UA"/>
        </w:rPr>
        <w:t>. ставки єдиного податку, обраної платником єдиного податку відповідно до ПКУ (п. 122.1 ст. 122 ПКУ).</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Підпунктом 129.1.3 п. 129.1 ст. 129 ПКУ визначено, що нарахування пені розпочинається при нарахуванні суми грошового зобов’язання, визначеного платником податків, – після спливу 90 календарних днів, наступних за останнім днем граничного строку сплати грошового зобов’язання (</w:t>
      </w:r>
      <w:proofErr w:type="spellStart"/>
      <w:r w:rsidRPr="00412302">
        <w:rPr>
          <w:rFonts w:ascii="Times New Roman" w:eastAsia="Times New Roman" w:hAnsi="Times New Roman" w:cs="Times New Roman"/>
          <w:sz w:val="24"/>
          <w:szCs w:val="24"/>
          <w:lang w:val="uk-UA" w:eastAsia="uk-UA"/>
        </w:rPr>
        <w:t>п.п</w:t>
      </w:r>
      <w:proofErr w:type="spellEnd"/>
      <w:r w:rsidRPr="00412302">
        <w:rPr>
          <w:rFonts w:ascii="Times New Roman" w:eastAsia="Times New Roman" w:hAnsi="Times New Roman" w:cs="Times New Roman"/>
          <w:sz w:val="24"/>
          <w:szCs w:val="24"/>
          <w:lang w:val="uk-UA" w:eastAsia="uk-UA"/>
        </w:rPr>
        <w:t>. 129.1.3 п. 129.1 ст. 129 ПКУ).</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 xml:space="preserve">Згідно з абзацом третім п. 129.4 ст. 129 ПКУ на суми грошового зобов’язання, визначеного </w:t>
      </w:r>
      <w:proofErr w:type="spellStart"/>
      <w:r w:rsidRPr="00412302">
        <w:rPr>
          <w:rFonts w:ascii="Times New Roman" w:eastAsia="Times New Roman" w:hAnsi="Times New Roman" w:cs="Times New Roman"/>
          <w:sz w:val="24"/>
          <w:szCs w:val="24"/>
          <w:lang w:val="uk-UA" w:eastAsia="uk-UA"/>
        </w:rPr>
        <w:t>п.п</w:t>
      </w:r>
      <w:proofErr w:type="spellEnd"/>
      <w:r w:rsidRPr="00412302">
        <w:rPr>
          <w:rFonts w:ascii="Times New Roman" w:eastAsia="Times New Roman" w:hAnsi="Times New Roman" w:cs="Times New Roman"/>
          <w:sz w:val="24"/>
          <w:szCs w:val="24"/>
          <w:lang w:val="uk-UA" w:eastAsia="uk-UA"/>
        </w:rPr>
        <w:t xml:space="preserve">. 129.1.3 п. 129.1 ст. 129 ПКУ (включаючи суму штрафних санкцій за їх наявності та без урахування суми пені), нараховується пеня за кожний календарний день прострочення його сплати, починаючи з 91 календарного дня, що настає за останнім днем граничного строку сплати податкового зобов’язання, включаючи день погашення, із розрахунку 100 </w:t>
      </w:r>
      <w:proofErr w:type="spellStart"/>
      <w:r w:rsidRPr="00412302">
        <w:rPr>
          <w:rFonts w:ascii="Times New Roman" w:eastAsia="Times New Roman" w:hAnsi="Times New Roman" w:cs="Times New Roman"/>
          <w:sz w:val="24"/>
          <w:szCs w:val="24"/>
          <w:lang w:val="uk-UA" w:eastAsia="uk-UA"/>
        </w:rPr>
        <w:t>відс</w:t>
      </w:r>
      <w:proofErr w:type="spellEnd"/>
      <w:r w:rsidRPr="00412302">
        <w:rPr>
          <w:rFonts w:ascii="Times New Roman" w:eastAsia="Times New Roman" w:hAnsi="Times New Roman" w:cs="Times New Roman"/>
          <w:sz w:val="24"/>
          <w:szCs w:val="24"/>
          <w:lang w:val="uk-UA" w:eastAsia="uk-UA"/>
        </w:rPr>
        <w:t>. річних облікової ставки Національного банку України, діючої на кожний такий день.</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 xml:space="preserve">Тимчасово, на період до припинення або скасування воєнного стану на території України, справляння податків і зборів здійснюється з урахуванням особливостей, визначених у п. 69 </w:t>
      </w:r>
      <w:proofErr w:type="spellStart"/>
      <w:r w:rsidRPr="00412302">
        <w:rPr>
          <w:rFonts w:ascii="Times New Roman" w:eastAsia="Times New Roman" w:hAnsi="Times New Roman" w:cs="Times New Roman"/>
          <w:sz w:val="24"/>
          <w:szCs w:val="24"/>
          <w:lang w:val="uk-UA" w:eastAsia="uk-UA"/>
        </w:rPr>
        <w:t>підрозд</w:t>
      </w:r>
      <w:proofErr w:type="spellEnd"/>
      <w:r w:rsidRPr="00412302">
        <w:rPr>
          <w:rFonts w:ascii="Times New Roman" w:eastAsia="Times New Roman" w:hAnsi="Times New Roman" w:cs="Times New Roman"/>
          <w:sz w:val="24"/>
          <w:szCs w:val="24"/>
          <w:lang w:val="uk-UA" w:eastAsia="uk-UA"/>
        </w:rPr>
        <w:t xml:space="preserve">. 10 </w:t>
      </w:r>
      <w:proofErr w:type="spellStart"/>
      <w:r w:rsidRPr="00412302">
        <w:rPr>
          <w:rFonts w:ascii="Times New Roman" w:eastAsia="Times New Roman" w:hAnsi="Times New Roman" w:cs="Times New Roman"/>
          <w:sz w:val="24"/>
          <w:szCs w:val="24"/>
          <w:lang w:val="uk-UA" w:eastAsia="uk-UA"/>
        </w:rPr>
        <w:t>розд</w:t>
      </w:r>
      <w:proofErr w:type="spellEnd"/>
      <w:r w:rsidRPr="00412302">
        <w:rPr>
          <w:rFonts w:ascii="Times New Roman" w:eastAsia="Times New Roman" w:hAnsi="Times New Roman" w:cs="Times New Roman"/>
          <w:sz w:val="24"/>
          <w:szCs w:val="24"/>
          <w:lang w:val="uk-UA" w:eastAsia="uk-UA"/>
        </w:rPr>
        <w:t>. ХХ «Перехідні положення» ПКУ.</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 xml:space="preserve">Зокрема, у разі відсутності у платника податків можливості своєчасно виконати свій податковий обов’язок, зокрема, щодо дотримання термінів сплати податків та зборів, подання звітності, у тому числі звітності, передбаченої п. 46.2 ст. 46 ПКУ, платники податків звільняються від передбаченої ПКУ відповідальності з обов’язковим виконанням таких обов’язків протягом шести місяців після припинення або скасування воєнного стану в Україні (абзац перший </w:t>
      </w:r>
      <w:proofErr w:type="spellStart"/>
      <w:r w:rsidRPr="00412302">
        <w:rPr>
          <w:rFonts w:ascii="Times New Roman" w:eastAsia="Times New Roman" w:hAnsi="Times New Roman" w:cs="Times New Roman"/>
          <w:sz w:val="24"/>
          <w:szCs w:val="24"/>
          <w:lang w:val="uk-UA" w:eastAsia="uk-UA"/>
        </w:rPr>
        <w:t>п.п</w:t>
      </w:r>
      <w:proofErr w:type="spellEnd"/>
      <w:r w:rsidRPr="00412302">
        <w:rPr>
          <w:rFonts w:ascii="Times New Roman" w:eastAsia="Times New Roman" w:hAnsi="Times New Roman" w:cs="Times New Roman"/>
          <w:sz w:val="24"/>
          <w:szCs w:val="24"/>
          <w:lang w:val="uk-UA" w:eastAsia="uk-UA"/>
        </w:rPr>
        <w:t xml:space="preserve">. 69.1 п. 69 </w:t>
      </w:r>
      <w:proofErr w:type="spellStart"/>
      <w:r w:rsidRPr="00412302">
        <w:rPr>
          <w:rFonts w:ascii="Times New Roman" w:eastAsia="Times New Roman" w:hAnsi="Times New Roman" w:cs="Times New Roman"/>
          <w:sz w:val="24"/>
          <w:szCs w:val="24"/>
          <w:lang w:val="uk-UA" w:eastAsia="uk-UA"/>
        </w:rPr>
        <w:t>підрозд</w:t>
      </w:r>
      <w:proofErr w:type="spellEnd"/>
      <w:r w:rsidRPr="00412302">
        <w:rPr>
          <w:rFonts w:ascii="Times New Roman" w:eastAsia="Times New Roman" w:hAnsi="Times New Roman" w:cs="Times New Roman"/>
          <w:sz w:val="24"/>
          <w:szCs w:val="24"/>
          <w:lang w:val="uk-UA" w:eastAsia="uk-UA"/>
        </w:rPr>
        <w:t xml:space="preserve">. 10 </w:t>
      </w:r>
      <w:proofErr w:type="spellStart"/>
      <w:r w:rsidRPr="00412302">
        <w:rPr>
          <w:rFonts w:ascii="Times New Roman" w:eastAsia="Times New Roman" w:hAnsi="Times New Roman" w:cs="Times New Roman"/>
          <w:sz w:val="24"/>
          <w:szCs w:val="24"/>
          <w:lang w:val="uk-UA" w:eastAsia="uk-UA"/>
        </w:rPr>
        <w:t>розд</w:t>
      </w:r>
      <w:proofErr w:type="spellEnd"/>
      <w:r w:rsidRPr="00412302">
        <w:rPr>
          <w:rFonts w:ascii="Times New Roman" w:eastAsia="Times New Roman" w:hAnsi="Times New Roman" w:cs="Times New Roman"/>
          <w:sz w:val="24"/>
          <w:szCs w:val="24"/>
          <w:lang w:val="uk-UA" w:eastAsia="uk-UA"/>
        </w:rPr>
        <w:t>. XX «Перехідні положення» ПКУ).</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 xml:space="preserve">Платники податків, які мають можливість своєчасно виконувати податкові обов’язки, зокрема, щодо дотримання термінів сплати податків та зборів, подання звітності, у тому числі звітності, передбаченої п. 46.2 ст. 46 ПКУ, звільняються від відповідальності за </w:t>
      </w:r>
      <w:r w:rsidRPr="00412302">
        <w:rPr>
          <w:rFonts w:ascii="Times New Roman" w:eastAsia="Times New Roman" w:hAnsi="Times New Roman" w:cs="Times New Roman"/>
          <w:sz w:val="24"/>
          <w:szCs w:val="24"/>
          <w:lang w:val="uk-UA" w:eastAsia="uk-UA"/>
        </w:rPr>
        <w:lastRenderedPageBreak/>
        <w:t xml:space="preserve">несвоєчасне виконання таких обов’язків, граничний термін виконання яких припадає на період починаючи з 24 лютого 2022 року до дня набрання чинності Законом України від 12 травня 2022 року № 2260-IX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(набрав чинності 27.05.2022) за умови подання податкової звітності до 20 липня 2022 року та сплати податків та зборів у строк не пізніше 31 липня 2022 року (абзац третій </w:t>
      </w:r>
      <w:proofErr w:type="spellStart"/>
      <w:r w:rsidRPr="00412302">
        <w:rPr>
          <w:rFonts w:ascii="Times New Roman" w:eastAsia="Times New Roman" w:hAnsi="Times New Roman" w:cs="Times New Roman"/>
          <w:sz w:val="24"/>
          <w:szCs w:val="24"/>
          <w:lang w:val="uk-UA" w:eastAsia="uk-UA"/>
        </w:rPr>
        <w:t>п.п</w:t>
      </w:r>
      <w:proofErr w:type="spellEnd"/>
      <w:r w:rsidRPr="00412302">
        <w:rPr>
          <w:rFonts w:ascii="Times New Roman" w:eastAsia="Times New Roman" w:hAnsi="Times New Roman" w:cs="Times New Roman"/>
          <w:sz w:val="24"/>
          <w:szCs w:val="24"/>
          <w:lang w:val="uk-UA" w:eastAsia="uk-UA"/>
        </w:rPr>
        <w:t xml:space="preserve">. 69.1 п. 69 </w:t>
      </w:r>
      <w:proofErr w:type="spellStart"/>
      <w:r w:rsidRPr="00412302">
        <w:rPr>
          <w:rFonts w:ascii="Times New Roman" w:eastAsia="Times New Roman" w:hAnsi="Times New Roman" w:cs="Times New Roman"/>
          <w:sz w:val="24"/>
          <w:szCs w:val="24"/>
          <w:lang w:val="uk-UA" w:eastAsia="uk-UA"/>
        </w:rPr>
        <w:t>підрозд</w:t>
      </w:r>
      <w:proofErr w:type="spellEnd"/>
      <w:r w:rsidRPr="00412302">
        <w:rPr>
          <w:rFonts w:ascii="Times New Roman" w:eastAsia="Times New Roman" w:hAnsi="Times New Roman" w:cs="Times New Roman"/>
          <w:sz w:val="24"/>
          <w:szCs w:val="24"/>
          <w:lang w:val="uk-UA" w:eastAsia="uk-UA"/>
        </w:rPr>
        <w:t xml:space="preserve">. 10 </w:t>
      </w:r>
      <w:proofErr w:type="spellStart"/>
      <w:r w:rsidRPr="00412302">
        <w:rPr>
          <w:rFonts w:ascii="Times New Roman" w:eastAsia="Times New Roman" w:hAnsi="Times New Roman" w:cs="Times New Roman"/>
          <w:sz w:val="24"/>
          <w:szCs w:val="24"/>
          <w:lang w:val="uk-UA" w:eastAsia="uk-UA"/>
        </w:rPr>
        <w:t>розд</w:t>
      </w:r>
      <w:proofErr w:type="spellEnd"/>
      <w:r w:rsidRPr="00412302">
        <w:rPr>
          <w:rFonts w:ascii="Times New Roman" w:eastAsia="Times New Roman" w:hAnsi="Times New Roman" w:cs="Times New Roman"/>
          <w:sz w:val="24"/>
          <w:szCs w:val="24"/>
          <w:lang w:val="uk-UA" w:eastAsia="uk-UA"/>
        </w:rPr>
        <w:t>. XX «Перехідні положення» ПКУ).</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 xml:space="preserve">Платники податків, у тому числі щодо своєї філії, представництва, відокремленого чи іншого структурного підрозділу, у яких відновилася можливість виконувати свої податкові обов’язки, граничний термін виконання яких припадає на період починаючи з 24 лютого 2022 року до дня відновлення можливості платника податків, звільняються від відповідальності за несвоєчасне виконання таких обов’язків, передбачених ПКУ, за умови виконання ними таких податкових обов’язків, зокрема, щодо подання звітності, сплати податків і зборів, протягом 60 календарних днів з першого дня місяця, наступного за місяцем відновлення таких можливостей платників податків (абзац четвертий </w:t>
      </w:r>
      <w:proofErr w:type="spellStart"/>
      <w:r w:rsidRPr="00412302">
        <w:rPr>
          <w:rFonts w:ascii="Times New Roman" w:eastAsia="Times New Roman" w:hAnsi="Times New Roman" w:cs="Times New Roman"/>
          <w:sz w:val="24"/>
          <w:szCs w:val="24"/>
          <w:lang w:val="uk-UA" w:eastAsia="uk-UA"/>
        </w:rPr>
        <w:t>п.п</w:t>
      </w:r>
      <w:proofErr w:type="spellEnd"/>
      <w:r w:rsidRPr="00412302">
        <w:rPr>
          <w:rFonts w:ascii="Times New Roman" w:eastAsia="Times New Roman" w:hAnsi="Times New Roman" w:cs="Times New Roman"/>
          <w:sz w:val="24"/>
          <w:szCs w:val="24"/>
          <w:lang w:val="uk-UA" w:eastAsia="uk-UA"/>
        </w:rPr>
        <w:t xml:space="preserve">. 69.1 п. 69 </w:t>
      </w:r>
      <w:proofErr w:type="spellStart"/>
      <w:r w:rsidRPr="00412302">
        <w:rPr>
          <w:rFonts w:ascii="Times New Roman" w:eastAsia="Times New Roman" w:hAnsi="Times New Roman" w:cs="Times New Roman"/>
          <w:sz w:val="24"/>
          <w:szCs w:val="24"/>
          <w:lang w:val="uk-UA" w:eastAsia="uk-UA"/>
        </w:rPr>
        <w:t>підрозд</w:t>
      </w:r>
      <w:proofErr w:type="spellEnd"/>
      <w:r w:rsidRPr="00412302">
        <w:rPr>
          <w:rFonts w:ascii="Times New Roman" w:eastAsia="Times New Roman" w:hAnsi="Times New Roman" w:cs="Times New Roman"/>
          <w:sz w:val="24"/>
          <w:szCs w:val="24"/>
          <w:lang w:val="uk-UA" w:eastAsia="uk-UA"/>
        </w:rPr>
        <w:t xml:space="preserve">. 10 </w:t>
      </w:r>
      <w:proofErr w:type="spellStart"/>
      <w:r w:rsidRPr="00412302">
        <w:rPr>
          <w:rFonts w:ascii="Times New Roman" w:eastAsia="Times New Roman" w:hAnsi="Times New Roman" w:cs="Times New Roman"/>
          <w:sz w:val="24"/>
          <w:szCs w:val="24"/>
          <w:lang w:val="uk-UA" w:eastAsia="uk-UA"/>
        </w:rPr>
        <w:t>розд</w:t>
      </w:r>
      <w:proofErr w:type="spellEnd"/>
      <w:r w:rsidRPr="00412302">
        <w:rPr>
          <w:rFonts w:ascii="Times New Roman" w:eastAsia="Times New Roman" w:hAnsi="Times New Roman" w:cs="Times New Roman"/>
          <w:sz w:val="24"/>
          <w:szCs w:val="24"/>
          <w:lang w:val="uk-UA" w:eastAsia="uk-UA"/>
        </w:rPr>
        <w:t>. XX «Перехідні положення» ПКУ).</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 xml:space="preserve">Порядок підтвердження можливості чи неможливості виконання платником податків обов’язків, визначених </w:t>
      </w:r>
      <w:proofErr w:type="spellStart"/>
      <w:r w:rsidRPr="00412302">
        <w:rPr>
          <w:rFonts w:ascii="Times New Roman" w:eastAsia="Times New Roman" w:hAnsi="Times New Roman" w:cs="Times New Roman"/>
          <w:sz w:val="24"/>
          <w:szCs w:val="24"/>
          <w:lang w:val="uk-UA" w:eastAsia="uk-UA"/>
        </w:rPr>
        <w:t>п.п</w:t>
      </w:r>
      <w:proofErr w:type="spellEnd"/>
      <w:r w:rsidRPr="00412302">
        <w:rPr>
          <w:rFonts w:ascii="Times New Roman" w:eastAsia="Times New Roman" w:hAnsi="Times New Roman" w:cs="Times New Roman"/>
          <w:sz w:val="24"/>
          <w:szCs w:val="24"/>
          <w:lang w:val="uk-UA" w:eastAsia="uk-UA"/>
        </w:rPr>
        <w:t xml:space="preserve">. 69.1 п. 69 </w:t>
      </w:r>
      <w:proofErr w:type="spellStart"/>
      <w:r w:rsidRPr="00412302">
        <w:rPr>
          <w:rFonts w:ascii="Times New Roman" w:eastAsia="Times New Roman" w:hAnsi="Times New Roman" w:cs="Times New Roman"/>
          <w:sz w:val="24"/>
          <w:szCs w:val="24"/>
          <w:lang w:val="uk-UA" w:eastAsia="uk-UA"/>
        </w:rPr>
        <w:t>підрозд</w:t>
      </w:r>
      <w:proofErr w:type="spellEnd"/>
      <w:r w:rsidRPr="00412302">
        <w:rPr>
          <w:rFonts w:ascii="Times New Roman" w:eastAsia="Times New Roman" w:hAnsi="Times New Roman" w:cs="Times New Roman"/>
          <w:sz w:val="24"/>
          <w:szCs w:val="24"/>
          <w:lang w:val="uk-UA" w:eastAsia="uk-UA"/>
        </w:rPr>
        <w:t xml:space="preserve">. 10 </w:t>
      </w:r>
      <w:proofErr w:type="spellStart"/>
      <w:r w:rsidRPr="00412302">
        <w:rPr>
          <w:rFonts w:ascii="Times New Roman" w:eastAsia="Times New Roman" w:hAnsi="Times New Roman" w:cs="Times New Roman"/>
          <w:sz w:val="24"/>
          <w:szCs w:val="24"/>
          <w:lang w:val="uk-UA" w:eastAsia="uk-UA"/>
        </w:rPr>
        <w:t>розд</w:t>
      </w:r>
      <w:proofErr w:type="spellEnd"/>
      <w:r w:rsidRPr="00412302">
        <w:rPr>
          <w:rFonts w:ascii="Times New Roman" w:eastAsia="Times New Roman" w:hAnsi="Times New Roman" w:cs="Times New Roman"/>
          <w:sz w:val="24"/>
          <w:szCs w:val="24"/>
          <w:lang w:val="uk-UA" w:eastAsia="uk-UA"/>
        </w:rPr>
        <w:t xml:space="preserve">. XX «Перехідні положення» ПКУ, та перелік документів на підтвердження затверджується центральним органом виконавчої влади, що забезпечує формування та реалізує державну фінансову політику (далі – Порядок) (абзац восьмий </w:t>
      </w:r>
      <w:proofErr w:type="spellStart"/>
      <w:r w:rsidRPr="00412302">
        <w:rPr>
          <w:rFonts w:ascii="Times New Roman" w:eastAsia="Times New Roman" w:hAnsi="Times New Roman" w:cs="Times New Roman"/>
          <w:sz w:val="24"/>
          <w:szCs w:val="24"/>
          <w:lang w:val="uk-UA" w:eastAsia="uk-UA"/>
        </w:rPr>
        <w:t>п.п</w:t>
      </w:r>
      <w:proofErr w:type="spellEnd"/>
      <w:r w:rsidRPr="00412302">
        <w:rPr>
          <w:rFonts w:ascii="Times New Roman" w:eastAsia="Times New Roman" w:hAnsi="Times New Roman" w:cs="Times New Roman"/>
          <w:sz w:val="24"/>
          <w:szCs w:val="24"/>
          <w:lang w:val="uk-UA" w:eastAsia="uk-UA"/>
        </w:rPr>
        <w:t xml:space="preserve">. 69.1 п. 69 </w:t>
      </w:r>
      <w:proofErr w:type="spellStart"/>
      <w:r w:rsidRPr="00412302">
        <w:rPr>
          <w:rFonts w:ascii="Times New Roman" w:eastAsia="Times New Roman" w:hAnsi="Times New Roman" w:cs="Times New Roman"/>
          <w:sz w:val="24"/>
          <w:szCs w:val="24"/>
          <w:lang w:val="uk-UA" w:eastAsia="uk-UA"/>
        </w:rPr>
        <w:t>підрозд</w:t>
      </w:r>
      <w:proofErr w:type="spellEnd"/>
      <w:r w:rsidRPr="00412302">
        <w:rPr>
          <w:rFonts w:ascii="Times New Roman" w:eastAsia="Times New Roman" w:hAnsi="Times New Roman" w:cs="Times New Roman"/>
          <w:sz w:val="24"/>
          <w:szCs w:val="24"/>
          <w:lang w:val="uk-UA" w:eastAsia="uk-UA"/>
        </w:rPr>
        <w:t xml:space="preserve">. 10 </w:t>
      </w:r>
      <w:proofErr w:type="spellStart"/>
      <w:r w:rsidRPr="00412302">
        <w:rPr>
          <w:rFonts w:ascii="Times New Roman" w:eastAsia="Times New Roman" w:hAnsi="Times New Roman" w:cs="Times New Roman"/>
          <w:sz w:val="24"/>
          <w:szCs w:val="24"/>
          <w:lang w:val="uk-UA" w:eastAsia="uk-UA"/>
        </w:rPr>
        <w:t>розд</w:t>
      </w:r>
      <w:proofErr w:type="spellEnd"/>
      <w:r w:rsidRPr="00412302">
        <w:rPr>
          <w:rFonts w:ascii="Times New Roman" w:eastAsia="Times New Roman" w:hAnsi="Times New Roman" w:cs="Times New Roman"/>
          <w:sz w:val="24"/>
          <w:szCs w:val="24"/>
          <w:lang w:val="uk-UA" w:eastAsia="uk-UA"/>
        </w:rPr>
        <w:t>. XX «Перехідні положення» ПКУ).</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 xml:space="preserve">Отже, фізичні особи – підприємці – платники єдиного податку першої та другої груп, які мали можливість сплатити, але не сплатили авансовий внесок за березень 2022 року (термін сплати – 18.03.2022, припадає на період з 24.02.2022 по 27.05.2022), звільняються від відповідальності, передбаченої п. 122.1 ст. 122 ПКУ, та пені згідно з </w:t>
      </w:r>
      <w:proofErr w:type="spellStart"/>
      <w:r w:rsidRPr="00412302">
        <w:rPr>
          <w:rFonts w:ascii="Times New Roman" w:eastAsia="Times New Roman" w:hAnsi="Times New Roman" w:cs="Times New Roman"/>
          <w:sz w:val="24"/>
          <w:szCs w:val="24"/>
          <w:lang w:val="uk-UA" w:eastAsia="uk-UA"/>
        </w:rPr>
        <w:t>п.п</w:t>
      </w:r>
      <w:proofErr w:type="spellEnd"/>
      <w:r w:rsidRPr="00412302">
        <w:rPr>
          <w:rFonts w:ascii="Times New Roman" w:eastAsia="Times New Roman" w:hAnsi="Times New Roman" w:cs="Times New Roman"/>
          <w:sz w:val="24"/>
          <w:szCs w:val="24"/>
          <w:lang w:val="uk-UA" w:eastAsia="uk-UA"/>
        </w:rPr>
        <w:t xml:space="preserve">. 129.1.3 п. 129.1 ст. 129 ПКУ, за умови сплати такого авансового внеску не пізніше 31.07.2022 (включно). </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Поряд з цим, фізичні особи – підприємці – платники єдиного податку першої та другої груп, які не мали можливості своєчасно та/або у повному обсязі сплатити авансовий внесок за березень 2022 року, звільняються від відповідальності з обов’язковим виконанням такого обов’язку:</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протягом шести місяців після припинення або скасування воєнного стану в Україні;</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протягом 60 календарних днів з першого дня місяця, наступного за місяцем відновлення такої можливості.</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При цьому підтвердження можливості чи неможливості виконання платниками обов’язків здійснюється відповідно до наказу Міністерства фінансів України від 29 липня 2022 року № 225 « Про затвердження Порядку підтвердження можливості чи неможливості виконання платником податків обов’язків, визначених у підпункті 69.1 пункту 69 підрозділу 10 розділу XX «Перехідні положення» Податкового кодексу України, та переліків документів на підтвердження».</w:t>
      </w:r>
    </w:p>
    <w:p w:rsidR="00412302" w:rsidRPr="00412302" w:rsidRDefault="00412302" w:rsidP="00412302">
      <w:pPr>
        <w:spacing w:after="0" w:line="240" w:lineRule="auto"/>
        <w:ind w:firstLine="567"/>
        <w:jc w:val="both"/>
        <w:rPr>
          <w:rFonts w:ascii="Times New Roman" w:eastAsia="Times New Roman" w:hAnsi="Times New Roman" w:cs="Times New Roman"/>
          <w:sz w:val="24"/>
          <w:szCs w:val="24"/>
          <w:lang w:val="uk-UA" w:eastAsia="uk-UA"/>
        </w:rPr>
      </w:pPr>
      <w:r w:rsidRPr="00412302">
        <w:rPr>
          <w:rFonts w:ascii="Times New Roman" w:eastAsia="Times New Roman" w:hAnsi="Times New Roman" w:cs="Times New Roman"/>
          <w:sz w:val="24"/>
          <w:szCs w:val="24"/>
          <w:lang w:val="uk-UA" w:eastAsia="uk-UA"/>
        </w:rPr>
        <w:t xml:space="preserve">Водночас, зауважимо, що таке звільнення від відповідальності не застосовується до фізичних осіб – підприємців – платників єдиного податку першої та другої груп у разі несплати авансових внесків за січень – лютий 2022 року (терміни сплати – 20.01.2022 та 18.02.2022 відповідно) і до них застосовується відповідальність, передбачена п. 122.1 ст. 122 ПКУ, та пеня згідно з </w:t>
      </w:r>
      <w:proofErr w:type="spellStart"/>
      <w:r w:rsidRPr="00412302">
        <w:rPr>
          <w:rFonts w:ascii="Times New Roman" w:eastAsia="Times New Roman" w:hAnsi="Times New Roman" w:cs="Times New Roman"/>
          <w:sz w:val="24"/>
          <w:szCs w:val="24"/>
          <w:lang w:val="uk-UA" w:eastAsia="uk-UA"/>
        </w:rPr>
        <w:t>п.п</w:t>
      </w:r>
      <w:proofErr w:type="spellEnd"/>
      <w:r w:rsidRPr="00412302">
        <w:rPr>
          <w:rFonts w:ascii="Times New Roman" w:eastAsia="Times New Roman" w:hAnsi="Times New Roman" w:cs="Times New Roman"/>
          <w:sz w:val="24"/>
          <w:szCs w:val="24"/>
          <w:lang w:val="uk-UA" w:eastAsia="uk-UA"/>
        </w:rPr>
        <w:t>. 129.1.3 п. 129.1 ст. 129 ПКУ.</w:t>
      </w:r>
      <w:bookmarkEnd w:id="1"/>
    </w:p>
    <w:p w:rsidR="00396933" w:rsidRPr="00412302" w:rsidRDefault="00396933" w:rsidP="00B13B60">
      <w:pPr>
        <w:spacing w:after="0" w:line="240" w:lineRule="auto"/>
        <w:jc w:val="both"/>
        <w:rPr>
          <w:rFonts w:ascii="Times New Roman" w:hAnsi="Times New Roman" w:cs="Times New Roman"/>
          <w:sz w:val="20"/>
          <w:szCs w:val="20"/>
        </w:rPr>
      </w:pPr>
    </w:p>
    <w:p w:rsidR="00396933" w:rsidRPr="00412302" w:rsidRDefault="00396933" w:rsidP="00B13B60">
      <w:pPr>
        <w:spacing w:after="0" w:line="240" w:lineRule="auto"/>
        <w:jc w:val="both"/>
        <w:rPr>
          <w:rFonts w:ascii="Times New Roman" w:hAnsi="Times New Roman" w:cs="Times New Roman"/>
          <w:sz w:val="20"/>
          <w:szCs w:val="20"/>
        </w:rPr>
      </w:pPr>
    </w:p>
    <w:p w:rsidR="00396933" w:rsidRPr="00412302" w:rsidRDefault="00396933" w:rsidP="00B13B60">
      <w:pPr>
        <w:spacing w:after="0" w:line="240" w:lineRule="auto"/>
        <w:jc w:val="both"/>
        <w:rPr>
          <w:rFonts w:ascii="Times New Roman" w:hAnsi="Times New Roman" w:cs="Times New Roman"/>
          <w:sz w:val="20"/>
          <w:szCs w:val="20"/>
        </w:rPr>
      </w:pPr>
    </w:p>
    <w:p w:rsidR="00396933" w:rsidRPr="00412302" w:rsidRDefault="00396933" w:rsidP="00B13B60">
      <w:pPr>
        <w:spacing w:after="0" w:line="240" w:lineRule="auto"/>
        <w:jc w:val="both"/>
        <w:rPr>
          <w:rFonts w:ascii="Times New Roman" w:hAnsi="Times New Roman" w:cs="Times New Roman"/>
          <w:sz w:val="20"/>
          <w:szCs w:val="20"/>
        </w:rPr>
      </w:pPr>
    </w:p>
    <w:p w:rsidR="00396933" w:rsidRPr="00412302" w:rsidRDefault="00396933" w:rsidP="00B13B60">
      <w:pPr>
        <w:spacing w:after="0" w:line="240" w:lineRule="auto"/>
        <w:jc w:val="both"/>
        <w:rPr>
          <w:rFonts w:ascii="Times New Roman" w:hAnsi="Times New Roman" w:cs="Times New Roman"/>
          <w:sz w:val="20"/>
          <w:szCs w:val="20"/>
        </w:rPr>
      </w:pPr>
    </w:p>
    <w:p w:rsidR="00396933" w:rsidRPr="00412302" w:rsidRDefault="00396933" w:rsidP="00B13B60">
      <w:pPr>
        <w:spacing w:after="0" w:line="240" w:lineRule="auto"/>
        <w:jc w:val="both"/>
        <w:rPr>
          <w:rFonts w:ascii="Times New Roman" w:hAnsi="Times New Roman" w:cs="Times New Roman"/>
          <w:sz w:val="20"/>
          <w:szCs w:val="20"/>
        </w:rPr>
      </w:pPr>
    </w:p>
    <w:p w:rsidR="00B13B60" w:rsidRPr="005F4FD4" w:rsidRDefault="00B13B60" w:rsidP="00B13B60">
      <w:pPr>
        <w:spacing w:after="0" w:line="240" w:lineRule="auto"/>
        <w:jc w:val="both"/>
        <w:rPr>
          <w:rFonts w:ascii="Times New Roman" w:hAnsi="Times New Roman" w:cs="Times New Roman"/>
          <w:sz w:val="20"/>
          <w:szCs w:val="20"/>
          <w:lang w:val="uk-UA"/>
        </w:rPr>
      </w:pPr>
      <w:r w:rsidRPr="005F4FD4">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5F4FD4">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5F4FD4">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5F4FD4">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5F4FD4">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5F4FD4">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5F4FD4">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600194" w:rsidRDefault="00B13B60" w:rsidP="00600194">
      <w:pPr>
        <w:spacing w:after="0" w:line="240" w:lineRule="auto"/>
        <w:jc w:val="both"/>
        <w:rPr>
          <w:rFonts w:ascii="Times New Roman" w:hAnsi="Times New Roman" w:cs="Times New Roman"/>
          <w:sz w:val="20"/>
          <w:szCs w:val="20"/>
          <w:lang w:val="uk-UA"/>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600194"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199"/>
    <w:rsid w:val="00396933"/>
    <w:rsid w:val="00412302"/>
    <w:rsid w:val="004A64BE"/>
    <w:rsid w:val="00524C6D"/>
    <w:rsid w:val="005F4FD4"/>
    <w:rsid w:val="00600194"/>
    <w:rsid w:val="00626E5C"/>
    <w:rsid w:val="00635199"/>
    <w:rsid w:val="00751448"/>
    <w:rsid w:val="00B1113A"/>
    <w:rsid w:val="00B13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51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5199"/>
    <w:rPr>
      <w:rFonts w:ascii="Tahoma" w:hAnsi="Tahoma" w:cs="Tahoma"/>
      <w:sz w:val="16"/>
      <w:szCs w:val="16"/>
    </w:rPr>
  </w:style>
  <w:style w:type="character" w:customStyle="1" w:styleId="z-label">
    <w:name w:val="z-label"/>
    <w:basedOn w:val="a0"/>
    <w:rsid w:val="00635199"/>
  </w:style>
  <w:style w:type="character" w:styleId="a5">
    <w:name w:val="Hyperlink"/>
    <w:uiPriority w:val="99"/>
    <w:rsid w:val="00635199"/>
    <w:rPr>
      <w:color w:val="0000FF"/>
      <w:u w:val="single"/>
    </w:rPr>
  </w:style>
  <w:style w:type="paragraph" w:styleId="a6">
    <w:name w:val="List Paragraph"/>
    <w:basedOn w:val="a"/>
    <w:uiPriority w:val="34"/>
    <w:qFormat/>
    <w:rsid w:val="00412302"/>
    <w:pPr>
      <w:ind w:left="720"/>
      <w:contextualSpacing/>
    </w:pPr>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51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5199"/>
    <w:rPr>
      <w:rFonts w:ascii="Tahoma" w:hAnsi="Tahoma" w:cs="Tahoma"/>
      <w:sz w:val="16"/>
      <w:szCs w:val="16"/>
    </w:rPr>
  </w:style>
  <w:style w:type="character" w:customStyle="1" w:styleId="z-label">
    <w:name w:val="z-label"/>
    <w:basedOn w:val="a0"/>
    <w:rsid w:val="00635199"/>
  </w:style>
  <w:style w:type="character" w:styleId="a5">
    <w:name w:val="Hyperlink"/>
    <w:uiPriority w:val="99"/>
    <w:rsid w:val="00635199"/>
    <w:rPr>
      <w:color w:val="0000FF"/>
      <w:u w:val="single"/>
    </w:rPr>
  </w:style>
  <w:style w:type="paragraph" w:styleId="a6">
    <w:name w:val="List Paragraph"/>
    <w:basedOn w:val="a"/>
    <w:uiPriority w:val="34"/>
    <w:qFormat/>
    <w:rsid w:val="00412302"/>
    <w:pPr>
      <w:ind w:left="720"/>
      <w:contextualSpacing/>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4586</Words>
  <Characters>2615</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2022-09-28T06:36:00Z</dcterms:created>
  <dcterms:modified xsi:type="dcterms:W3CDTF">2022-09-28T06:36:00Z</dcterms:modified>
</cp:coreProperties>
</file>